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6FFEB0B2" w:rsidR="00CB0A11" w:rsidRPr="00906AE3" w:rsidRDefault="00CB0A11" w:rsidP="00F565F5">
      <w:pPr>
        <w:pStyle w:val="SemEspaamento"/>
        <w:rPr>
          <w:rFonts w:asciiTheme="minorHAnsi" w:hAnsiTheme="minorHAnsi" w:cstheme="minorHAnsi"/>
          <w:lang w:eastAsia="pt-BR"/>
        </w:rPr>
      </w:pPr>
      <w:r w:rsidRPr="00906AE3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906AE3">
        <w:rPr>
          <w:rFonts w:asciiTheme="minorHAnsi" w:hAnsiTheme="minorHAnsi" w:cstheme="minorHAnsi"/>
          <w:lang w:eastAsia="pt-BR"/>
        </w:rPr>
        <w:t>E</w:t>
      </w:r>
      <w:r w:rsidR="00DD365D" w:rsidRPr="00906AE3">
        <w:rPr>
          <w:rFonts w:asciiTheme="minorHAnsi" w:hAnsiTheme="minorHAnsi" w:cstheme="minorHAnsi"/>
          <w:lang w:eastAsia="pt-BR"/>
        </w:rPr>
        <w:t xml:space="preserve"> 0</w:t>
      </w:r>
      <w:r w:rsidR="0024117E" w:rsidRPr="00906AE3">
        <w:rPr>
          <w:rFonts w:asciiTheme="minorHAnsi" w:hAnsiTheme="minorHAnsi" w:cstheme="minorHAnsi"/>
          <w:lang w:eastAsia="pt-BR"/>
        </w:rPr>
        <w:t>1</w:t>
      </w:r>
      <w:r w:rsidR="00906AE3" w:rsidRPr="00906AE3">
        <w:rPr>
          <w:rFonts w:asciiTheme="minorHAnsi" w:hAnsiTheme="minorHAnsi" w:cstheme="minorHAnsi"/>
          <w:lang w:eastAsia="pt-BR"/>
        </w:rPr>
        <w:t>4</w:t>
      </w:r>
      <w:r w:rsidRPr="00906AE3">
        <w:rPr>
          <w:rFonts w:asciiTheme="minorHAnsi" w:hAnsiTheme="minorHAnsi" w:cstheme="minorHAnsi"/>
          <w:lang w:eastAsia="pt-BR"/>
        </w:rPr>
        <w:t>/202</w:t>
      </w:r>
      <w:r w:rsidR="00B14296" w:rsidRPr="00906AE3">
        <w:rPr>
          <w:rFonts w:asciiTheme="minorHAnsi" w:hAnsiTheme="minorHAnsi" w:cstheme="minorHAnsi"/>
          <w:lang w:eastAsia="pt-BR"/>
        </w:rPr>
        <w:t>3</w:t>
      </w:r>
      <w:r w:rsidRPr="00906AE3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906AE3" w:rsidRDefault="00CB0A11" w:rsidP="00F565F5">
      <w:pPr>
        <w:pStyle w:val="SemEspaamento"/>
        <w:rPr>
          <w:rFonts w:asciiTheme="minorHAnsi" w:hAnsiTheme="minorHAnsi" w:cstheme="minorHAnsi"/>
        </w:rPr>
      </w:pPr>
    </w:p>
    <w:p w14:paraId="691E40DB" w14:textId="77777777" w:rsidR="00906AE3" w:rsidRPr="00906AE3" w:rsidRDefault="00906AE3" w:rsidP="00906AE3">
      <w:pPr>
        <w:suppressAutoHyphens w:val="0"/>
        <w:rPr>
          <w:rFonts w:ascii="Calibri" w:eastAsia="Calibri" w:hAnsi="Calibri"/>
          <w:b/>
          <w:bCs/>
          <w:lang w:eastAsia="en-US"/>
        </w:rPr>
      </w:pPr>
      <w:r w:rsidRPr="00906AE3">
        <w:rPr>
          <w:rFonts w:ascii="Calibri" w:eastAsia="Calibri" w:hAnsi="Calibri"/>
          <w:b/>
          <w:bCs/>
          <w:lang w:eastAsia="en-US"/>
        </w:rPr>
        <w:t>1 – Refletores:</w:t>
      </w:r>
    </w:p>
    <w:p w14:paraId="48AB119C" w14:textId="77777777" w:rsidR="00906AE3" w:rsidRPr="00906AE3" w:rsidRDefault="00906AE3" w:rsidP="00906AE3">
      <w:pPr>
        <w:suppressAutoHyphens w:val="0"/>
        <w:rPr>
          <w:rFonts w:ascii="Calibri" w:eastAsia="Calibri" w:hAnsi="Calibri"/>
          <w:lang w:eastAsia="en-US"/>
        </w:rPr>
      </w:pPr>
      <w:r w:rsidRPr="00906AE3">
        <w:rPr>
          <w:rFonts w:ascii="Calibri" w:eastAsia="Calibri" w:hAnsi="Calibri"/>
          <w:lang w:eastAsia="en-US"/>
        </w:rPr>
        <w:t>4x100W, refere-se a refletores de Vapor Metálico?</w:t>
      </w:r>
    </w:p>
    <w:p w14:paraId="65CF77C5" w14:textId="77777777" w:rsidR="00906AE3" w:rsidRPr="00906AE3" w:rsidRDefault="00906AE3" w:rsidP="00906AE3">
      <w:pPr>
        <w:suppressAutoHyphens w:val="0"/>
        <w:rPr>
          <w:rFonts w:ascii="Calibri" w:eastAsia="Calibri" w:hAnsi="Calibri"/>
          <w:lang w:eastAsia="en-US"/>
        </w:rPr>
      </w:pPr>
      <w:r w:rsidRPr="00906AE3">
        <w:rPr>
          <w:rFonts w:ascii="Calibri" w:eastAsia="Calibri" w:hAnsi="Calibri"/>
          <w:lang w:eastAsia="en-US"/>
        </w:rPr>
        <w:t>(o uso deste já está ultrapassado tecnicamente e foram substituídos pelos refletores de LED, última geração, oferecendo uma maior iluminação solicitada e oferece uma potência excedente disponível de 9KVA para uso de outros equipamentos periféricos)</w:t>
      </w:r>
    </w:p>
    <w:p w14:paraId="6332A232" w14:textId="77777777" w:rsidR="00906AE3" w:rsidRPr="00906AE3" w:rsidRDefault="00906AE3" w:rsidP="00906AE3">
      <w:pPr>
        <w:suppressAutoHyphens w:val="0"/>
        <w:rPr>
          <w:rFonts w:ascii="Calibri" w:eastAsia="Calibri" w:hAnsi="Calibri"/>
          <w:b/>
          <w:bCs/>
          <w:lang w:eastAsia="en-US"/>
        </w:rPr>
      </w:pPr>
    </w:p>
    <w:p w14:paraId="28854C01" w14:textId="77777777" w:rsidR="00906AE3" w:rsidRPr="00906AE3" w:rsidRDefault="00906AE3" w:rsidP="00906AE3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906AE3">
        <w:rPr>
          <w:rFonts w:ascii="Calibri" w:eastAsia="Calibri" w:hAnsi="Calibri"/>
          <w:b/>
          <w:bCs/>
          <w:sz w:val="28"/>
          <w:szCs w:val="28"/>
          <w:lang w:eastAsia="en-US"/>
        </w:rPr>
        <w:t>Sim. Os refletores devem ser compostos por LÂMPADAS (4x1000W). A administração optou pela não utilização de refletores de LED por sua menor usabilidade e disponibilidade em mercado, o que dificultaria as futuras manutenções, além de tratar-se de equipamento mais frágil e com menor capacidade de modificação, sendo necessária sua substituição completa na maioria das eventualidades relacionadas a problemas de funcionamento.</w:t>
      </w:r>
    </w:p>
    <w:p w14:paraId="1CC19529" w14:textId="77777777" w:rsidR="00906AE3" w:rsidRPr="00906AE3" w:rsidRDefault="00906AE3" w:rsidP="00906AE3">
      <w:pPr>
        <w:suppressAutoHyphens w:val="0"/>
        <w:rPr>
          <w:rFonts w:ascii="Calibri" w:eastAsia="Calibri" w:hAnsi="Calibri"/>
          <w:lang w:eastAsia="en-US"/>
        </w:rPr>
      </w:pPr>
    </w:p>
    <w:p w14:paraId="498414B8" w14:textId="77777777" w:rsidR="00906AE3" w:rsidRPr="00906AE3" w:rsidRDefault="00906AE3" w:rsidP="00906AE3">
      <w:pPr>
        <w:suppressAutoHyphens w:val="0"/>
        <w:rPr>
          <w:rFonts w:ascii="Calibri" w:eastAsia="Calibri" w:hAnsi="Calibri"/>
          <w:b/>
          <w:bCs/>
          <w:lang w:eastAsia="en-US"/>
        </w:rPr>
      </w:pPr>
      <w:r w:rsidRPr="00906AE3">
        <w:rPr>
          <w:rFonts w:ascii="Calibri" w:eastAsia="Calibri" w:hAnsi="Calibri"/>
          <w:b/>
          <w:bCs/>
          <w:lang w:eastAsia="en-US"/>
        </w:rPr>
        <w:t>2 – Emplacamento:</w:t>
      </w:r>
    </w:p>
    <w:p w14:paraId="6B1BB3FA" w14:textId="77777777" w:rsidR="00906AE3" w:rsidRPr="00906AE3" w:rsidRDefault="00906AE3" w:rsidP="00906AE3">
      <w:pPr>
        <w:suppressAutoHyphens w:val="0"/>
        <w:rPr>
          <w:rFonts w:ascii="Calibri" w:eastAsia="Calibri" w:hAnsi="Calibri"/>
          <w:lang w:eastAsia="en-US"/>
        </w:rPr>
      </w:pPr>
      <w:r w:rsidRPr="00906AE3">
        <w:rPr>
          <w:rFonts w:ascii="Calibri" w:eastAsia="Calibri" w:hAnsi="Calibri"/>
          <w:lang w:eastAsia="en-US"/>
        </w:rPr>
        <w:t>Existe a necessidade de Emplacamento para transitar em vias públicas?</w:t>
      </w:r>
    </w:p>
    <w:p w14:paraId="20D4758F" w14:textId="77777777" w:rsidR="00906AE3" w:rsidRPr="00906AE3" w:rsidRDefault="00906AE3" w:rsidP="00906AE3">
      <w:pPr>
        <w:suppressAutoHyphens w:val="0"/>
        <w:rPr>
          <w:rFonts w:ascii="Calibri" w:eastAsia="Calibri" w:hAnsi="Calibri"/>
          <w:lang w:eastAsia="en-US"/>
        </w:rPr>
      </w:pPr>
    </w:p>
    <w:p w14:paraId="11AEAC9E" w14:textId="77777777" w:rsidR="00906AE3" w:rsidRPr="00906AE3" w:rsidRDefault="00906AE3" w:rsidP="00906AE3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906AE3">
        <w:rPr>
          <w:rFonts w:ascii="Calibri" w:eastAsia="Calibri" w:hAnsi="Calibri"/>
          <w:b/>
          <w:bCs/>
          <w:sz w:val="28"/>
          <w:szCs w:val="28"/>
          <w:lang w:eastAsia="en-US"/>
        </w:rPr>
        <w:t>O equipamento deverá ser homologado, com autorização e capacidade de emplacamento para transitar em vias públicas. Entretanto, o emplacamento será realizado pela Administração Pública.</w:t>
      </w:r>
    </w:p>
    <w:p w14:paraId="7520EFAE" w14:textId="77777777" w:rsidR="00906AE3" w:rsidRPr="00906AE3" w:rsidRDefault="00906AE3" w:rsidP="00906AE3">
      <w:pPr>
        <w:suppressAutoHyphens w:val="0"/>
        <w:rPr>
          <w:rFonts w:ascii="Calibri" w:eastAsia="Calibri" w:hAnsi="Calibri"/>
          <w:lang w:eastAsia="en-US"/>
        </w:rPr>
      </w:pPr>
    </w:p>
    <w:p w14:paraId="0B97CE97" w14:textId="02351901" w:rsidR="00906AE3" w:rsidRPr="00906AE3" w:rsidRDefault="00906AE3" w:rsidP="00906AE3">
      <w:pPr>
        <w:suppressAutoHyphens w:val="0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>3</w:t>
      </w:r>
      <w:r w:rsidRPr="00906AE3">
        <w:rPr>
          <w:rFonts w:ascii="Calibri" w:eastAsia="Calibri" w:hAnsi="Calibri"/>
          <w:b/>
          <w:bCs/>
          <w:lang w:eastAsia="en-US"/>
        </w:rPr>
        <w:t xml:space="preserve"> – Roda Estepe</w:t>
      </w:r>
    </w:p>
    <w:p w14:paraId="59DD2B61" w14:textId="77777777" w:rsidR="00906AE3" w:rsidRPr="00906AE3" w:rsidRDefault="00906AE3" w:rsidP="00906AE3">
      <w:pPr>
        <w:suppressAutoHyphens w:val="0"/>
        <w:rPr>
          <w:rFonts w:ascii="Calibri" w:eastAsia="Calibri" w:hAnsi="Calibri"/>
          <w:lang w:eastAsia="en-US"/>
        </w:rPr>
      </w:pPr>
      <w:r w:rsidRPr="00906AE3">
        <w:rPr>
          <w:rFonts w:ascii="Calibri" w:eastAsia="Calibri" w:hAnsi="Calibri"/>
          <w:lang w:eastAsia="en-US"/>
        </w:rPr>
        <w:t>Existe a necessidade de Roda de estepe?</w:t>
      </w:r>
    </w:p>
    <w:p w14:paraId="14D60EBE" w14:textId="77777777" w:rsidR="00906AE3" w:rsidRPr="00906AE3" w:rsidRDefault="00906AE3" w:rsidP="00906AE3">
      <w:pPr>
        <w:suppressAutoHyphens w:val="0"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73005514" w14:textId="77777777" w:rsidR="00906AE3" w:rsidRPr="00906AE3" w:rsidRDefault="00906AE3" w:rsidP="00906AE3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906AE3">
        <w:rPr>
          <w:rFonts w:ascii="Calibri" w:eastAsia="Calibri" w:hAnsi="Calibri"/>
          <w:b/>
          <w:bCs/>
          <w:sz w:val="28"/>
          <w:szCs w:val="28"/>
          <w:lang w:eastAsia="en-US"/>
        </w:rPr>
        <w:t>Não.</w:t>
      </w:r>
    </w:p>
    <w:p w14:paraId="7679A7FF" w14:textId="66811586" w:rsidR="00156B8F" w:rsidRPr="00906AE3" w:rsidRDefault="00156B8F" w:rsidP="00F565F5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01F770C2" w14:textId="48E7A7C6" w:rsidR="00156B8F" w:rsidRPr="00906AE3" w:rsidRDefault="00156B8F" w:rsidP="00F565F5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56D84FE" w14:textId="77777777" w:rsidR="00156B8F" w:rsidRPr="00906AE3" w:rsidRDefault="00156B8F" w:rsidP="00F565F5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1A653318" w14:textId="77777777" w:rsidR="00156B8F" w:rsidRPr="00906AE3" w:rsidRDefault="00156B8F" w:rsidP="00F565F5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906AE3" w:rsidRDefault="00F565F5" w:rsidP="00F565F5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906AE3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5CF6E0AC" w14:textId="77777777" w:rsidR="00906AE3" w:rsidRPr="00906AE3" w:rsidRDefault="00906AE3" w:rsidP="00906AE3">
      <w:pPr>
        <w:pStyle w:val="SemEspaamento"/>
        <w:rPr>
          <w:rFonts w:asciiTheme="minorHAnsi" w:hAnsiTheme="minorHAnsi" w:cstheme="minorHAnsi"/>
          <w:b/>
        </w:rPr>
      </w:pPr>
      <w:r w:rsidRPr="00906AE3">
        <w:rPr>
          <w:rFonts w:asciiTheme="minorHAnsi" w:hAnsiTheme="minorHAnsi" w:cstheme="minorHAnsi"/>
          <w:b/>
        </w:rPr>
        <w:t>Secretaria Municipal de Conservação e Serviços Públicos</w:t>
      </w:r>
    </w:p>
    <w:p w14:paraId="4F0DB96F" w14:textId="7E6DFFAF" w:rsidR="00CB0A11" w:rsidRPr="0024117E" w:rsidRDefault="00CB0A11" w:rsidP="00906AE3">
      <w:pPr>
        <w:pStyle w:val="SemEspaamento"/>
        <w:rPr>
          <w:bCs/>
          <w:i/>
          <w:sz w:val="22"/>
          <w:szCs w:val="22"/>
          <w:lang w:eastAsia="pt-BR"/>
        </w:rPr>
      </w:pPr>
    </w:p>
    <w:sectPr w:rsidR="00CB0A11" w:rsidRPr="0024117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0F060" w14:textId="2E6DBD1C" w:rsidR="00156B8F" w:rsidRPr="00E3000B" w:rsidRDefault="00E06A46" w:rsidP="00906AE3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906AE3">
      <w:rPr>
        <w:rFonts w:asciiTheme="minorHAnsi" w:hAnsiTheme="minorHAnsi" w:cstheme="minorHAnsi"/>
        <w:b/>
      </w:rPr>
      <w:t>Conservação e Serviços Públicos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6048B"/>
    <w:multiLevelType w:val="hybridMultilevel"/>
    <w:tmpl w:val="3EF497B2"/>
    <w:lvl w:ilvl="0" w:tplc="237A821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1"/>
  </w:num>
  <w:num w:numId="3" w16cid:durableId="1842692972">
    <w:abstractNumId w:val="3"/>
  </w:num>
  <w:num w:numId="4" w16cid:durableId="981155347">
    <w:abstractNumId w:val="22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5"/>
  </w:num>
  <w:num w:numId="10" w16cid:durableId="183372207">
    <w:abstractNumId w:val="15"/>
  </w:num>
  <w:num w:numId="11" w16cid:durableId="238178179">
    <w:abstractNumId w:val="16"/>
  </w:num>
  <w:num w:numId="12" w16cid:durableId="154078737">
    <w:abstractNumId w:val="19"/>
  </w:num>
  <w:num w:numId="13" w16cid:durableId="900673409">
    <w:abstractNumId w:val="26"/>
  </w:num>
  <w:num w:numId="14" w16cid:durableId="1862010559">
    <w:abstractNumId w:val="14"/>
  </w:num>
  <w:num w:numId="15" w16cid:durableId="1642035153">
    <w:abstractNumId w:val="13"/>
  </w:num>
  <w:num w:numId="16" w16cid:durableId="1699158373">
    <w:abstractNumId w:val="17"/>
  </w:num>
  <w:num w:numId="17" w16cid:durableId="1787431680">
    <w:abstractNumId w:val="10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7"/>
  </w:num>
  <w:num w:numId="23" w16cid:durableId="318075074">
    <w:abstractNumId w:val="28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2"/>
  </w:num>
  <w:num w:numId="27" w16cid:durableId="241912710">
    <w:abstractNumId w:val="2"/>
  </w:num>
  <w:num w:numId="28" w16cid:durableId="449326548">
    <w:abstractNumId w:val="24"/>
  </w:num>
  <w:num w:numId="29" w16cid:durableId="337466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AE3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2023-05-18T19:06:00Z</dcterms:created>
  <dcterms:modified xsi:type="dcterms:W3CDTF">2023-05-18T19:06:00Z</dcterms:modified>
</cp:coreProperties>
</file>